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88" w:tblpY="1002"/>
        <w:tblW w:w="8053" w:type="dxa"/>
        <w:tblBorders>
          <w:top w:val="single" w:sz="18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83"/>
        <w:gridCol w:w="1710"/>
        <w:gridCol w:w="1440"/>
        <w:gridCol w:w="1620"/>
      </w:tblGrid>
      <w:tr w:rsidR="00D721B4" w:rsidRPr="00694D33" w:rsidTr="00D721B4">
        <w:tc>
          <w:tcPr>
            <w:tcW w:w="328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LIBRARY TRACK</w:t>
            </w: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bookmarkStart w:id="0" w:name="_GoBack"/>
            <w:bookmarkEnd w:id="0"/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Instructor to Assistant Professor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Associate to Full  </w:t>
            </w: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Cumulative</w:t>
            </w:r>
          </w:p>
        </w:tc>
      </w:tr>
      <w:tr w:rsidR="00D721B4" w:rsidRPr="00694D33" w:rsidTr="00D721B4">
        <w:tc>
          <w:tcPr>
            <w:tcW w:w="805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TEACHING DOMAIN</w:t>
            </w:r>
          </w:p>
        </w:tc>
      </w:tr>
      <w:tr w:rsidR="00D721B4" w:rsidRPr="00694D33" w:rsidTr="00D721B4">
        <w:tc>
          <w:tcPr>
            <w:tcW w:w="3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Teaching evaluations  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Effective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Curricular products developed/improved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</w:tr>
      <w:tr w:rsidR="00D721B4" w:rsidRPr="00694D33" w:rsidTr="00D721B4">
        <w:trPr>
          <w:trHeight w:val="23"/>
        </w:trPr>
        <w:tc>
          <w:tcPr>
            <w:tcW w:w="805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SCHOLARSHIP DOMAIN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Scholarly works*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 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9</w:t>
            </w: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Peer reviewed publications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5 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Invited or peer reviewed external presentations to state/regional/national audiences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Externally funded grants/ contracts/ clinical trials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Active role in QI-Patient Safety initiatives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983CD4" w:rsidRDefault="00D721B4" w:rsidP="00D721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CD4">
              <w:rPr>
                <w:rFonts w:asciiTheme="minorHAnsi" w:hAnsiTheme="minorHAnsi" w:cstheme="minorHAnsi"/>
                <w:sz w:val="18"/>
                <w:szCs w:val="18"/>
              </w:rPr>
              <w:t>Library Products (e.g. pathfinders, subject guides, etc.)</w:t>
            </w:r>
          </w:p>
          <w:p w:rsidR="00D721B4" w:rsidRPr="005E73A4" w:rsidRDefault="00D721B4" w:rsidP="00D721B4">
            <w:pPr>
              <w:rPr>
                <w:sz w:val="16"/>
                <w:szCs w:val="16"/>
                <w:highlight w:val="yellow"/>
              </w:rPr>
            </w:pPr>
            <w:r w:rsidRPr="00983CD4">
              <w:rPr>
                <w:rFonts w:asciiTheme="minorHAnsi" w:hAnsiTheme="minorHAnsi" w:cstheme="minorHAnsi"/>
                <w:sz w:val="18"/>
                <w:szCs w:val="18"/>
              </w:rPr>
              <w:t>Library Products may substitute for publications or presentations; minimum totals should equal total scholarly works.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</w:tr>
      <w:tr w:rsidR="00D721B4" w:rsidRPr="00694D33" w:rsidTr="00D721B4">
        <w:tc>
          <w:tcPr>
            <w:tcW w:w="805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CLINICAL PRACTICE DOMAIN</w:t>
            </w:r>
          </w:p>
        </w:tc>
      </w:tr>
      <w:tr w:rsidR="00D721B4" w:rsidRPr="00694D33" w:rsidTr="00D721B4">
        <w:tc>
          <w:tcPr>
            <w:tcW w:w="805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ADMINISTRATIVE DOMAIN</w:t>
            </w:r>
          </w:p>
        </w:tc>
      </w:tr>
      <w:tr w:rsidR="00D721B4" w:rsidRPr="00694D33" w:rsidTr="00D721B4">
        <w:tc>
          <w:tcPr>
            <w:tcW w:w="3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Effective completed or adopted initiatives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Productive leadership role in projects/committees/task forces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805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INSTITUTION/ ACADEMIC RELATED SERVICE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 xml:space="preserve">School/ Department/ College/Hospital Committees or task forces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5 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University/State/National/ Professional Committees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Leadership and/or service in professional organizations, study groups, external review panels, peer review process, editorial board, etc. ***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Outreach (e.g., presentation of health information to public, science fair judge, recruiting trips, mission trips, representing MUSM to the public)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(does not apply to Librarians-see below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</w:t>
            </w:r>
          </w:p>
        </w:tc>
      </w:tr>
      <w:tr w:rsidR="00D721B4" w:rsidRPr="00694D33" w:rsidTr="00D721B4">
        <w:tc>
          <w:tcPr>
            <w:tcW w:w="805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Librarianship 1 project/contribution from any of the following four areas each year</w:t>
            </w: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Archives/Digital Initiatives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tcBorders>
              <w:right w:val="single" w:sz="18" w:space="0" w:color="auto"/>
            </w:tcBorders>
            <w:shd w:val="clear" w:color="auto" w:fill="auto"/>
          </w:tcPr>
          <w:p w:rsidR="00D721B4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Collection Services (selection and deselection of materials)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21B4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Public Service/Outreach (e.g. research consultations)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D721B4" w:rsidRPr="00694D33" w:rsidTr="00D721B4">
        <w:tc>
          <w:tcPr>
            <w:tcW w:w="3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21B4" w:rsidRDefault="00D721B4" w:rsidP="00D721B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Technical Service and Library Systems </w:t>
            </w:r>
            <w:r w:rsidRPr="00674057">
              <w:rPr>
                <w:rFonts w:ascii="Calibri" w:eastAsia="Calibri" w:hAnsi="Calibri"/>
                <w:sz w:val="16"/>
                <w:szCs w:val="16"/>
              </w:rPr>
              <w:t>(e.g. maintaining functionality of electronic resources, database management, etc.)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721B4" w:rsidRPr="00694D33" w:rsidRDefault="00D721B4" w:rsidP="00D721B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DD00DB" w:rsidRPr="00D721B4" w:rsidRDefault="00D721B4" w:rsidP="00D721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21B4">
        <w:rPr>
          <w:rFonts w:asciiTheme="minorHAnsi" w:hAnsiTheme="minorHAnsi" w:cstheme="minorHAnsi"/>
          <w:b/>
          <w:sz w:val="22"/>
          <w:szCs w:val="22"/>
        </w:rPr>
        <w:t>MINIMUM QUANTITATIVE GUIDELINES</w:t>
      </w:r>
    </w:p>
    <w:sectPr w:rsidR="00DD00DB" w:rsidRPr="00D7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B4"/>
    <w:rsid w:val="00D721B4"/>
    <w:rsid w:val="00D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F252"/>
  <w15:chartTrackingRefBased/>
  <w15:docId w15:val="{43CFD857-83D4-464F-971C-A34F0E4B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2018-07-12T14:02:00Z</dcterms:created>
  <dcterms:modified xsi:type="dcterms:W3CDTF">2018-07-12T14:04:00Z</dcterms:modified>
</cp:coreProperties>
</file>